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65C" w:rsidRPr="00E0265C" w:rsidRDefault="00E0265C" w:rsidP="00E0265C">
      <w:pPr>
        <w:widowControl/>
        <w:spacing w:before="100" w:beforeAutospacing="1" w:after="100" w:afterAutospacing="1"/>
        <w:jc w:val="center"/>
        <w:outlineLvl w:val="0"/>
        <w:rPr>
          <w:rFonts w:ascii="微软雅黑" w:eastAsia="微软雅黑" w:hAnsi="微软雅黑" w:cs="宋体"/>
          <w:b/>
          <w:bCs/>
          <w:color w:val="000000"/>
          <w:kern w:val="36"/>
          <w:szCs w:val="21"/>
        </w:rPr>
      </w:pPr>
      <w:r w:rsidRPr="00E0265C">
        <w:rPr>
          <w:rFonts w:ascii="微软雅黑" w:eastAsia="微软雅黑" w:hAnsi="微软雅黑" w:cs="宋体" w:hint="eastAsia"/>
          <w:b/>
          <w:bCs/>
          <w:color w:val="000000"/>
          <w:kern w:val="36"/>
          <w:szCs w:val="21"/>
        </w:rPr>
        <w:t>政府会计准则第4号——无形资产</w:t>
      </w:r>
    </w:p>
    <w:p w:rsidR="00E0265C" w:rsidRPr="00E0265C" w:rsidRDefault="00E0265C" w:rsidP="00E0265C">
      <w:pPr>
        <w:widowControl/>
        <w:spacing w:before="100" w:beforeAutospacing="1" w:after="100" w:afterAutospacing="1"/>
        <w:jc w:val="center"/>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财会[2016]12号</w:t>
      </w:r>
    </w:p>
    <w:p w:rsidR="00E0265C" w:rsidRPr="00E0265C" w:rsidRDefault="00E0265C" w:rsidP="00E0265C">
      <w:pPr>
        <w:widowControl/>
        <w:spacing w:before="100" w:beforeAutospacing="1" w:after="100" w:afterAutospacing="1"/>
        <w:jc w:val="center"/>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颁布时间：2016-</w:t>
      </w:r>
      <w:bookmarkStart w:id="0" w:name="_GoBack"/>
      <w:bookmarkEnd w:id="0"/>
      <w:r w:rsidRPr="00E0265C">
        <w:rPr>
          <w:rFonts w:ascii="宋体" w:eastAsia="宋体" w:hAnsi="宋体" w:cs="宋体" w:hint="eastAsia"/>
          <w:color w:val="000000"/>
          <w:kern w:val="0"/>
          <w:sz w:val="18"/>
          <w:szCs w:val="18"/>
        </w:rPr>
        <w:t>07-06  发文单位：财政部</w:t>
      </w:r>
    </w:p>
    <w:p w:rsidR="00E0265C" w:rsidRPr="00E0265C" w:rsidRDefault="00E0265C" w:rsidP="00E0265C">
      <w:pPr>
        <w:widowControl/>
        <w:spacing w:before="100" w:beforeAutospacing="1" w:after="100" w:afterAutospacing="1"/>
        <w:ind w:firstLine="480"/>
        <w:jc w:val="center"/>
        <w:rPr>
          <w:rFonts w:ascii="宋体" w:eastAsia="宋体" w:hAnsi="宋体" w:cs="宋体" w:hint="eastAsia"/>
          <w:color w:val="000000"/>
          <w:kern w:val="0"/>
          <w:sz w:val="18"/>
          <w:szCs w:val="18"/>
        </w:rPr>
      </w:pPr>
      <w:r w:rsidRPr="00E0265C">
        <w:rPr>
          <w:rFonts w:ascii="宋体" w:eastAsia="宋体" w:hAnsi="宋体" w:cs="宋体" w:hint="eastAsia"/>
          <w:b/>
          <w:bCs/>
          <w:color w:val="000000"/>
          <w:kern w:val="0"/>
          <w:sz w:val="18"/>
          <w:szCs w:val="18"/>
        </w:rPr>
        <w:t>第一章 总则</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第一条 为了规范无形资产的确认、计量和相关信息的披露，根据《政府</w:t>
      </w:r>
      <w:hyperlink r:id="rId4" w:tgtFrame="_blank" w:tooltip="会计" w:history="1">
        <w:r w:rsidRPr="00E0265C">
          <w:rPr>
            <w:rFonts w:ascii="宋体" w:eastAsia="宋体" w:hAnsi="宋体" w:cs="宋体" w:hint="eastAsia"/>
            <w:color w:val="333333"/>
            <w:kern w:val="0"/>
            <w:sz w:val="18"/>
            <w:szCs w:val="18"/>
          </w:rPr>
          <w:t>会计</w:t>
        </w:r>
      </w:hyperlink>
      <w:r w:rsidRPr="00E0265C">
        <w:rPr>
          <w:rFonts w:ascii="宋体" w:eastAsia="宋体" w:hAnsi="宋体" w:cs="宋体" w:hint="eastAsia"/>
          <w:color w:val="000000"/>
          <w:kern w:val="0"/>
          <w:sz w:val="18"/>
          <w:szCs w:val="18"/>
        </w:rPr>
        <w:t>准则——基本准则》，制定本准则。</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第二条 本准则所称无形资产，是指政府会计主体控制的没有实物形态的可</w:t>
      </w:r>
      <w:proofErr w:type="gramStart"/>
      <w:r w:rsidRPr="00E0265C">
        <w:rPr>
          <w:rFonts w:ascii="宋体" w:eastAsia="宋体" w:hAnsi="宋体" w:cs="宋体" w:hint="eastAsia"/>
          <w:color w:val="000000"/>
          <w:kern w:val="0"/>
          <w:sz w:val="18"/>
          <w:szCs w:val="18"/>
        </w:rPr>
        <w:t>辨认非</w:t>
      </w:r>
      <w:proofErr w:type="gramEnd"/>
      <w:r w:rsidRPr="00E0265C">
        <w:rPr>
          <w:rFonts w:ascii="宋体" w:eastAsia="宋体" w:hAnsi="宋体" w:cs="宋体" w:hint="eastAsia"/>
          <w:color w:val="000000"/>
          <w:kern w:val="0"/>
          <w:sz w:val="18"/>
          <w:szCs w:val="18"/>
        </w:rPr>
        <w:t>货币性资产，如专利权、商标权、著作权、土地使用权、非专利技术等。</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资产满足下列条 件之一的，符合无形资产定义中的可辨认性标准：</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（一）能够从政府会计主体中分离或者划分出来，并能单独或者与相关合同、资产或负债一起，用于出售、转移、授予许可、租赁或者交换。</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（二）源自合同性权利或其他法定权利，无论这些权利是否可以从政府会计主体或其他权利和义务中转移或者分离。</w:t>
      </w:r>
    </w:p>
    <w:p w:rsidR="00E0265C" w:rsidRPr="00E0265C" w:rsidRDefault="00E0265C" w:rsidP="00E0265C">
      <w:pPr>
        <w:widowControl/>
        <w:spacing w:before="100" w:beforeAutospacing="1" w:after="100" w:afterAutospacing="1"/>
        <w:ind w:firstLine="480"/>
        <w:jc w:val="center"/>
        <w:rPr>
          <w:rFonts w:ascii="宋体" w:eastAsia="宋体" w:hAnsi="宋体" w:cs="宋体" w:hint="eastAsia"/>
          <w:color w:val="000000"/>
          <w:kern w:val="0"/>
          <w:sz w:val="18"/>
          <w:szCs w:val="18"/>
        </w:rPr>
      </w:pPr>
      <w:r w:rsidRPr="00E0265C">
        <w:rPr>
          <w:rFonts w:ascii="宋体" w:eastAsia="宋体" w:hAnsi="宋体" w:cs="宋体" w:hint="eastAsia"/>
          <w:b/>
          <w:bCs/>
          <w:color w:val="000000"/>
          <w:kern w:val="0"/>
          <w:sz w:val="18"/>
          <w:szCs w:val="18"/>
        </w:rPr>
        <w:t>第二章 无形资产的确认</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第三条 无形资产同时满足下列条 件的，应当予以确认：</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（一）与该无形资产相关的服务潜力很可能实现或者经济利益很可能流入政府会计主体；</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二）该无形资产的成本或者价值能够可靠地计量。政府会计主体在判断无形资产的服务潜力或经济利益是否很可能实现或流入时，应当对无形资产在预计使用年限内可能存在的各种社会、经济、科技因素做出合理估计，并且应当有确凿的证据支持。</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第四条 政府会计主体购入的不构成相关硬件不可缺少组成部分的软件，应当确认为无形资产。</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第五条 政府会计主体自行研究开发项目的支出，应当区分研究阶段支出与开发阶段支出。</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研究是指为获取并理解新的科学或技术知识而进行的独创性的有计划调查。</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开发是指在进行生产或使用前，将研究成果或其他知识应用于某项计划或设计，以生产出新的或具有实质性改进的材料、装置、产品等。</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第六条 政府会计主体自行研究开发项目研究阶段的支出，应当于发生时计入当期费用。</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政府会计主体自行研究开发项目开发阶段的支出，先按合理方法进行归集，如果最终形成无形资产的，应当确认为无形资产；如果最终未形成无形资产的，应当计入当期费用。</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lastRenderedPageBreak/>
        <w:t>政府会计主体自行研究开发项目尚未进入开发阶段，或者确实无法区分研究阶段支出和开发阶段支出，但按法律程序已申请取得无形资产的，应当将依法取得时发生的注册费、聘请律师费等费用确认为无形资产。</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第七条 政府会计主体自创商誉及内部产生的品牌、报刊名等，不应确认为无形资产。</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第八条 与无形资产有关的后续支出，符合本准则第三条规定的确认条件的，应当计入无形资产成本；不符合本准则第三条规定的确认条件的，应当在发生时计入当期费用或者相关资产成本。</w:t>
      </w:r>
    </w:p>
    <w:p w:rsidR="00E0265C" w:rsidRPr="00E0265C" w:rsidRDefault="00E0265C" w:rsidP="00E0265C">
      <w:pPr>
        <w:widowControl/>
        <w:spacing w:before="100" w:beforeAutospacing="1" w:after="100" w:afterAutospacing="1"/>
        <w:ind w:firstLine="480"/>
        <w:jc w:val="center"/>
        <w:rPr>
          <w:rFonts w:ascii="宋体" w:eastAsia="宋体" w:hAnsi="宋体" w:cs="宋体" w:hint="eastAsia"/>
          <w:color w:val="000000"/>
          <w:kern w:val="0"/>
          <w:sz w:val="18"/>
          <w:szCs w:val="18"/>
        </w:rPr>
      </w:pPr>
      <w:r w:rsidRPr="00E0265C">
        <w:rPr>
          <w:rFonts w:ascii="宋体" w:eastAsia="宋体" w:hAnsi="宋体" w:cs="宋体" w:hint="eastAsia"/>
          <w:b/>
          <w:bCs/>
          <w:color w:val="000000"/>
          <w:kern w:val="0"/>
          <w:sz w:val="18"/>
          <w:szCs w:val="18"/>
        </w:rPr>
        <w:t>第三章 无形资产的初始计量</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第九条 无形资产在取得时应当按照成本进行初始计量。</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第十条 政府会计主体外购的无形资产，其成本包括购买价款、相关税费以及可归属于该项资产达到预定用途前所发生的其他支出。政府会计主体委托软件公司开发的软件，视同外购无形资产确定其成本。</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第十一条 政府会计主体自行开发的无形资产，其成本包括自该项目进入开发阶段后至达到预定用途前所发生的支出总额。</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第十二条 政府会计主体通过置换取得的无形资产，其成本按照换出资产的评估价值加上支付的补价或减去收到的补价，加上换入无形资产发生的其他相关支出确定。</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第十三条 政府会计主体接受捐赠的无形资产，其成本按照有关凭据注明的金额加上相关税费确定；没有相关凭据可供取得，但按规定经过资产评估的，其成本按照评估价值加上相关税费确定；没有相关凭据可供取得、也未经资产评估的，其成本比照同类或类似资产的市场价格加上相关税费确定；没有相关凭据且未经资产评估、同类或类似资产的市场价格也无法可靠取得的，按照名义金额入账，相关税费计入当期费用。确定接受捐赠无形资产的初始入账成本时，应当考虑该项资产尚可为政府会计主体带来服务潜力或经济利益的能力。</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第十四条 政府会计主体无偿调入的无形资产，其成本按照调出方账面价值加上相关税费确定。</w:t>
      </w:r>
    </w:p>
    <w:p w:rsidR="00E0265C" w:rsidRPr="00E0265C" w:rsidRDefault="00E0265C" w:rsidP="00E0265C">
      <w:pPr>
        <w:widowControl/>
        <w:spacing w:before="100" w:beforeAutospacing="1" w:after="100" w:afterAutospacing="1"/>
        <w:ind w:firstLine="480"/>
        <w:jc w:val="center"/>
        <w:rPr>
          <w:rFonts w:ascii="宋体" w:eastAsia="宋体" w:hAnsi="宋体" w:cs="宋体" w:hint="eastAsia"/>
          <w:color w:val="000000"/>
          <w:kern w:val="0"/>
          <w:sz w:val="18"/>
          <w:szCs w:val="18"/>
        </w:rPr>
      </w:pPr>
      <w:r w:rsidRPr="00E0265C">
        <w:rPr>
          <w:rFonts w:ascii="宋体" w:eastAsia="宋体" w:hAnsi="宋体" w:cs="宋体" w:hint="eastAsia"/>
          <w:b/>
          <w:bCs/>
          <w:color w:val="000000"/>
          <w:kern w:val="0"/>
          <w:sz w:val="18"/>
          <w:szCs w:val="18"/>
        </w:rPr>
        <w:t>第四章 无形资产的后续计量</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第一节 无形资产的摊销</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第十五条 政府会计主体应当于取得或形成无形资产</w:t>
      </w:r>
      <w:proofErr w:type="gramStart"/>
      <w:r w:rsidRPr="00E0265C">
        <w:rPr>
          <w:rFonts w:ascii="宋体" w:eastAsia="宋体" w:hAnsi="宋体" w:cs="宋体" w:hint="eastAsia"/>
          <w:color w:val="000000"/>
          <w:kern w:val="0"/>
          <w:sz w:val="18"/>
          <w:szCs w:val="18"/>
        </w:rPr>
        <w:t>时合理</w:t>
      </w:r>
      <w:proofErr w:type="gramEnd"/>
      <w:r w:rsidRPr="00E0265C">
        <w:rPr>
          <w:rFonts w:ascii="宋体" w:eastAsia="宋体" w:hAnsi="宋体" w:cs="宋体" w:hint="eastAsia"/>
          <w:color w:val="000000"/>
          <w:kern w:val="0"/>
          <w:sz w:val="18"/>
          <w:szCs w:val="18"/>
        </w:rPr>
        <w:t>确定其使用年限。无形资产的使用年限为有限的，应当估计该使用年限。无法预见无形资产为政府会计主体提供服务潜力或者带来经济利益期限的，应当视为使用年限不确定的无形资产。</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第十六条 政府会计主体应当对使用年限有限的无形资产进行摊销，但已摊销完毕仍继续使用的无形资产和以名义金额计量的无形资产除外。摊销是指在无形资产使用年限内，按照确定的方法对应摊销金额进行系统分摊。</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第十七条 对于使用年限有限的无形资产，政府会计主体应当按照以下原则确定无形资产的摊销年限：</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lastRenderedPageBreak/>
        <w:t>（一）法律规定了有效年限的，按照法律规定的有效年限作为摊销年限；</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（二）法律没有规定有效年限的，按照相关合同或单位申请书中的受益年限作为摊销年限；</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（三）法律没有规定有效年限、相关合同或单位申请书也没有规定受益年限的，应当根据无形资产为政府会计主体带来服务潜力或经济利益的实际情况，预计其使用年限；</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（四）非大批量购入、单价小于1000元的无形资产，可以于购买的当期将其成本一次性全部转销。</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第十八条 政府会计主体应当按月对使用年限有限的无形资产进行摊销，并根据用途计入当期费用或者相关资产成本。政府会计主体应当采用年限平均法或者工作量法对无形资产进行摊销，应摊销金额为其成本，不考虑预计残值。</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第十九条 因发生后续支出而增加无形资产成本的，对于使用年限有限的无形资产，应当按照重新确定的无形资产成本以及重新确定的摊销年限计算摊销额。</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第二十条 使用年限不确定的无形资产不应摊销。</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第二节 无形资产的处置</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第二十一条 政府会计主体按规定报经批准出售无形资产，应当将无形资产账面价值转销计入当期费用，并将处置收入大于相关处置税费后的差额按规定计入当期收入或者做应缴款项处理，将处置收入小于相关处置税费后的差额计入当期费用。</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第二十二条 政府会计主体按规定报经批准对外捐赠、无偿调出无形资产的，应当将无形资产的账面价值予以转销，对外捐赠、无偿调出中发生的归属于捐出方、调出方的相关费用应当计入当期费用。</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第二十三条 政府会计主体按规定报经批准以无形资产对外投资的，应当将该无形资产的账面价值予以转销，并将无形资产在对外投资时的评估价值与其账面价值的差额计入当期收入或费用。</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第二十四条 无形资产预期不能为政府会计主体带来服务潜力或者经济利益的，应当在报经批准后将该无形资产的账面价值予以转销。</w:t>
      </w:r>
    </w:p>
    <w:p w:rsidR="00E0265C" w:rsidRPr="00E0265C" w:rsidRDefault="00E0265C" w:rsidP="00E0265C">
      <w:pPr>
        <w:widowControl/>
        <w:spacing w:before="100" w:beforeAutospacing="1" w:after="100" w:afterAutospacing="1"/>
        <w:ind w:firstLine="480"/>
        <w:jc w:val="center"/>
        <w:rPr>
          <w:rFonts w:ascii="宋体" w:eastAsia="宋体" w:hAnsi="宋体" w:cs="宋体" w:hint="eastAsia"/>
          <w:color w:val="000000"/>
          <w:kern w:val="0"/>
          <w:sz w:val="18"/>
          <w:szCs w:val="18"/>
        </w:rPr>
      </w:pPr>
      <w:r w:rsidRPr="00E0265C">
        <w:rPr>
          <w:rFonts w:ascii="宋体" w:eastAsia="宋体" w:hAnsi="宋体" w:cs="宋体" w:hint="eastAsia"/>
          <w:b/>
          <w:bCs/>
          <w:color w:val="000000"/>
          <w:kern w:val="0"/>
          <w:sz w:val="18"/>
          <w:szCs w:val="18"/>
        </w:rPr>
        <w:t>第五章 无形资产的披露</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第二十五条 政府会计主体应当按照无形资产的类别在附注中披露与无形资产有关的下列信息：</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（一）无形资产账面余额、累计摊销额、账面价值的期初、期末</w:t>
      </w:r>
      <w:proofErr w:type="gramStart"/>
      <w:r w:rsidRPr="00E0265C">
        <w:rPr>
          <w:rFonts w:ascii="宋体" w:eastAsia="宋体" w:hAnsi="宋体" w:cs="宋体" w:hint="eastAsia"/>
          <w:color w:val="000000"/>
          <w:kern w:val="0"/>
          <w:sz w:val="18"/>
          <w:szCs w:val="18"/>
        </w:rPr>
        <w:t>数及其</w:t>
      </w:r>
      <w:proofErr w:type="gramEnd"/>
      <w:r w:rsidRPr="00E0265C">
        <w:rPr>
          <w:rFonts w:ascii="宋体" w:eastAsia="宋体" w:hAnsi="宋体" w:cs="宋体" w:hint="eastAsia"/>
          <w:color w:val="000000"/>
          <w:kern w:val="0"/>
          <w:sz w:val="18"/>
          <w:szCs w:val="18"/>
        </w:rPr>
        <w:t>本期变动情况。</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（二）自行开发无形资产的名称、数量，以及账面余额和累计摊销额的变动情况。</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（三）以名义金额计量的无形资产名称、数量，以及以名义金额计量的理由。</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（四）接受捐赠、无偿调入无形资产的名称、数量等情况。</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lastRenderedPageBreak/>
        <w:t>（五）使用年限有限的无形资产，其使用年限的估计情况；使用年限不确定的无形资产，其使用年限不确定的确定依据。</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（六）无形资产出售、对外投资等重要资产处置的情况。</w:t>
      </w:r>
    </w:p>
    <w:p w:rsidR="00E0265C" w:rsidRPr="00E0265C" w:rsidRDefault="00E0265C" w:rsidP="00E0265C">
      <w:pPr>
        <w:widowControl/>
        <w:spacing w:before="100" w:beforeAutospacing="1" w:after="100" w:afterAutospacing="1"/>
        <w:ind w:firstLine="480"/>
        <w:jc w:val="center"/>
        <w:rPr>
          <w:rFonts w:ascii="宋体" w:eastAsia="宋体" w:hAnsi="宋体" w:cs="宋体" w:hint="eastAsia"/>
          <w:color w:val="000000"/>
          <w:kern w:val="0"/>
          <w:sz w:val="18"/>
          <w:szCs w:val="18"/>
        </w:rPr>
      </w:pPr>
      <w:r w:rsidRPr="00E0265C">
        <w:rPr>
          <w:rFonts w:ascii="宋体" w:eastAsia="宋体" w:hAnsi="宋体" w:cs="宋体" w:hint="eastAsia"/>
          <w:b/>
          <w:bCs/>
          <w:color w:val="000000"/>
          <w:kern w:val="0"/>
          <w:sz w:val="18"/>
          <w:szCs w:val="18"/>
        </w:rPr>
        <w:t>第六章 附则</w:t>
      </w:r>
    </w:p>
    <w:p w:rsidR="00E0265C" w:rsidRPr="00E0265C" w:rsidRDefault="00E0265C" w:rsidP="00E0265C">
      <w:pPr>
        <w:widowControl/>
        <w:spacing w:before="100" w:beforeAutospacing="1" w:after="100" w:afterAutospacing="1"/>
        <w:ind w:firstLine="480"/>
        <w:jc w:val="left"/>
        <w:rPr>
          <w:rFonts w:ascii="宋体" w:eastAsia="宋体" w:hAnsi="宋体" w:cs="宋体" w:hint="eastAsia"/>
          <w:color w:val="000000"/>
          <w:kern w:val="0"/>
          <w:sz w:val="18"/>
          <w:szCs w:val="18"/>
        </w:rPr>
      </w:pPr>
      <w:r w:rsidRPr="00E0265C">
        <w:rPr>
          <w:rFonts w:ascii="宋体" w:eastAsia="宋体" w:hAnsi="宋体" w:cs="宋体" w:hint="eastAsia"/>
          <w:color w:val="000000"/>
          <w:kern w:val="0"/>
          <w:sz w:val="18"/>
          <w:szCs w:val="18"/>
        </w:rPr>
        <w:t>第二十六条 本准则自2017年1月1日起施行。</w:t>
      </w:r>
    </w:p>
    <w:p w:rsidR="004036A0" w:rsidRPr="00E0265C" w:rsidRDefault="004036A0"/>
    <w:sectPr w:rsidR="004036A0" w:rsidRPr="00E02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5C"/>
    <w:rsid w:val="004036A0"/>
    <w:rsid w:val="00E0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1AF52-9FD3-439E-97DE-35A3DF5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29822">
      <w:bodyDiv w:val="1"/>
      <w:marLeft w:val="0"/>
      <w:marRight w:val="0"/>
      <w:marTop w:val="0"/>
      <w:marBottom w:val="0"/>
      <w:divBdr>
        <w:top w:val="none" w:sz="0" w:space="0" w:color="auto"/>
        <w:left w:val="none" w:sz="0" w:space="0" w:color="auto"/>
        <w:bottom w:val="none" w:sz="0" w:space="0" w:color="auto"/>
        <w:right w:val="none" w:sz="0" w:space="0" w:color="auto"/>
      </w:divBdr>
      <w:divsChild>
        <w:div w:id="141116559">
          <w:marLeft w:val="0"/>
          <w:marRight w:val="0"/>
          <w:marTop w:val="0"/>
          <w:marBottom w:val="0"/>
          <w:divBdr>
            <w:top w:val="none" w:sz="0" w:space="0" w:color="auto"/>
            <w:left w:val="none" w:sz="0" w:space="0" w:color="auto"/>
            <w:bottom w:val="none" w:sz="0" w:space="0" w:color="auto"/>
            <w:right w:val="none" w:sz="0" w:space="0" w:color="auto"/>
          </w:divBdr>
          <w:divsChild>
            <w:div w:id="457838683">
              <w:marLeft w:val="0"/>
              <w:marRight w:val="0"/>
              <w:marTop w:val="0"/>
              <w:marBottom w:val="0"/>
              <w:divBdr>
                <w:top w:val="none" w:sz="0" w:space="0" w:color="auto"/>
                <w:left w:val="none" w:sz="0" w:space="0" w:color="auto"/>
                <w:bottom w:val="none" w:sz="0" w:space="0" w:color="auto"/>
                <w:right w:val="none" w:sz="0" w:space="0" w:color="auto"/>
              </w:divBdr>
              <w:divsChild>
                <w:div w:id="812989560">
                  <w:marLeft w:val="0"/>
                  <w:marRight w:val="0"/>
                  <w:marTop w:val="0"/>
                  <w:marBottom w:val="0"/>
                  <w:divBdr>
                    <w:top w:val="none" w:sz="0" w:space="0" w:color="auto"/>
                    <w:left w:val="none" w:sz="0" w:space="0" w:color="auto"/>
                    <w:bottom w:val="none" w:sz="0" w:space="0" w:color="auto"/>
                    <w:right w:val="none" w:sz="0" w:space="0" w:color="auto"/>
                  </w:divBdr>
                </w:div>
                <w:div w:id="17578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ac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2521</Characters>
  <Application>Microsoft Office Word</Application>
  <DocSecurity>0</DocSecurity>
  <Lines>21</Lines>
  <Paragraphs>5</Paragraphs>
  <ScaleCrop>false</ScaleCrop>
  <Company>微软中国</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2017-09-07T01:56:00Z</dcterms:created>
  <dcterms:modified xsi:type="dcterms:W3CDTF">2017-09-07T01:57:00Z</dcterms:modified>
</cp:coreProperties>
</file>